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9F52" w14:textId="77777777" w:rsidR="00C43450" w:rsidRDefault="00C43450">
      <w:pPr>
        <w:pStyle w:val="BodyText"/>
        <w:spacing w:before="2"/>
        <w:rPr>
          <w:sz w:val="24"/>
        </w:rPr>
      </w:pPr>
    </w:p>
    <w:p w14:paraId="5237DCD0" w14:textId="77777777" w:rsidR="00C54D9A" w:rsidRDefault="00C54D9A" w:rsidP="003E5DBC">
      <w:pPr>
        <w:pStyle w:val="BodyText"/>
        <w:ind w:left="140" w:right="342"/>
        <w:jc w:val="center"/>
        <w:rPr>
          <w:b/>
          <w:sz w:val="28"/>
          <w:szCs w:val="28"/>
        </w:rPr>
      </w:pPr>
    </w:p>
    <w:p w14:paraId="441EF11A" w14:textId="77777777" w:rsidR="003E5DBC" w:rsidRPr="00C54D9A" w:rsidRDefault="00C54D9A" w:rsidP="003E5DBC">
      <w:pPr>
        <w:pStyle w:val="BodyText"/>
        <w:ind w:left="140" w:right="342"/>
        <w:jc w:val="center"/>
        <w:rPr>
          <w:b/>
          <w:color w:val="21578A"/>
          <w:sz w:val="28"/>
          <w:szCs w:val="28"/>
        </w:rPr>
      </w:pPr>
      <w:r>
        <w:rPr>
          <w:b/>
          <w:color w:val="21578A"/>
          <w:sz w:val="28"/>
          <w:szCs w:val="28"/>
        </w:rPr>
        <w:br/>
      </w:r>
      <w:r w:rsidR="003E5DBC" w:rsidRPr="00C54D9A">
        <w:rPr>
          <w:b/>
          <w:color w:val="21578A"/>
          <w:sz w:val="28"/>
          <w:szCs w:val="28"/>
        </w:rPr>
        <w:t>Medicare Part D Creditability Notice</w:t>
      </w:r>
    </w:p>
    <w:p w14:paraId="72144E9B" w14:textId="77777777" w:rsidR="003E5DBC" w:rsidRPr="003E5DBC" w:rsidRDefault="003E5DBC" w:rsidP="003E5DBC">
      <w:pPr>
        <w:pStyle w:val="BodyText"/>
        <w:ind w:left="140" w:right="342"/>
        <w:jc w:val="center"/>
        <w:rPr>
          <w:sz w:val="24"/>
          <w:szCs w:val="24"/>
        </w:rPr>
      </w:pPr>
      <w:r w:rsidRPr="003E5DBC">
        <w:rPr>
          <w:sz w:val="24"/>
          <w:szCs w:val="24"/>
        </w:rPr>
        <w:t>Employers must comply with Medicare Notice Requirements</w:t>
      </w:r>
    </w:p>
    <w:p w14:paraId="10187A2F" w14:textId="77777777" w:rsidR="00C54D9A" w:rsidRDefault="00C54D9A">
      <w:pPr>
        <w:pStyle w:val="BodyText"/>
        <w:ind w:left="140" w:right="342"/>
        <w:rPr>
          <w:sz w:val="22"/>
          <w:szCs w:val="22"/>
        </w:rPr>
      </w:pPr>
    </w:p>
    <w:p w14:paraId="161429E1" w14:textId="77777777" w:rsidR="00C43450" w:rsidRPr="00DE1E8C" w:rsidRDefault="00DE1E8C" w:rsidP="00C54D9A">
      <w:pPr>
        <w:pStyle w:val="BodyText"/>
        <w:spacing w:line="242" w:lineRule="auto"/>
        <w:rPr>
          <w:sz w:val="22"/>
          <w:szCs w:val="22"/>
        </w:rPr>
      </w:pPr>
      <w:r w:rsidRPr="00DE1E8C">
        <w:rPr>
          <w:sz w:val="22"/>
          <w:szCs w:val="22"/>
        </w:rPr>
        <w:t xml:space="preserve">As a group health plan policyholder that provides prescription drug coverage to eligible individuals, you are subject to certain mandates as a result of the Medicare Prescription Drug, Improvement, and Modernization Act of 2003. </w:t>
      </w:r>
      <w:r w:rsidR="00C54D9A" w:rsidRPr="00DE1E8C">
        <w:rPr>
          <w:sz w:val="22"/>
          <w:szCs w:val="22"/>
        </w:rPr>
        <w:t>This law added a voluntary prescription drug benefit (Part D) to the Medicare program. “Part D eligible individuals” can enroll in this prescription drug benefit.</w:t>
      </w:r>
      <w:r w:rsidR="00C54D9A">
        <w:rPr>
          <w:sz w:val="22"/>
          <w:szCs w:val="22"/>
        </w:rPr>
        <w:t xml:space="preserve"> </w:t>
      </w:r>
      <w:r w:rsidRPr="00DE1E8C">
        <w:rPr>
          <w:sz w:val="22"/>
          <w:szCs w:val="22"/>
        </w:rPr>
        <w:t>We’ve compiled the following information and resources to help you understand and comply with this law.</w:t>
      </w:r>
      <w:r w:rsidR="00F16B40" w:rsidRPr="00DE1E8C">
        <w:rPr>
          <w:sz w:val="22"/>
          <w:szCs w:val="22"/>
        </w:rPr>
        <w:t xml:space="preserve"> </w:t>
      </w:r>
    </w:p>
    <w:p w14:paraId="1E97572F" w14:textId="77777777" w:rsidR="00DE1E8C" w:rsidRPr="002D29A6" w:rsidRDefault="00DE1E8C" w:rsidP="00804458">
      <w:pPr>
        <w:pStyle w:val="BodyText"/>
        <w:spacing w:line="242" w:lineRule="auto"/>
      </w:pPr>
    </w:p>
    <w:p w14:paraId="2EF873A0" w14:textId="77777777" w:rsidR="00C43450" w:rsidRPr="00DE1E8C" w:rsidRDefault="00F16B40" w:rsidP="00C54D9A">
      <w:pPr>
        <w:pStyle w:val="BodyText"/>
        <w:spacing w:after="120" w:line="242" w:lineRule="auto"/>
        <w:rPr>
          <w:sz w:val="22"/>
          <w:szCs w:val="22"/>
        </w:rPr>
      </w:pPr>
      <w:r w:rsidRPr="00C54D9A">
        <w:rPr>
          <w:b/>
          <w:color w:val="21578A"/>
          <w:sz w:val="22"/>
          <w:szCs w:val="22"/>
        </w:rPr>
        <w:t>Annual notice requirement to CMS</w:t>
      </w:r>
      <w:r w:rsidR="00C54D9A">
        <w:rPr>
          <w:b/>
          <w:color w:val="21578A"/>
          <w:sz w:val="22"/>
          <w:szCs w:val="22"/>
        </w:rPr>
        <w:t xml:space="preserve"> – </w:t>
      </w:r>
      <w:r w:rsidRPr="00DE1E8C">
        <w:rPr>
          <w:sz w:val="22"/>
          <w:szCs w:val="22"/>
        </w:rPr>
        <w:t>All employers who offer group health plans providing prescription drug coverage are required to notify the Centers for Medicare &amp; Medicaid (CMS) annually regarding the creditability of their prescription drug coverage. (See “What is creditable prescription drug coverage?” below.)</w:t>
      </w:r>
    </w:p>
    <w:p w14:paraId="0C789AE4" w14:textId="77777777" w:rsidR="00C43450" w:rsidRPr="002D29A6" w:rsidRDefault="00C43450" w:rsidP="002D29A6">
      <w:pPr>
        <w:pStyle w:val="BodyText"/>
        <w:spacing w:line="242" w:lineRule="auto"/>
      </w:pPr>
    </w:p>
    <w:p w14:paraId="09DAE789" w14:textId="77777777" w:rsidR="00C43450" w:rsidRPr="00DE1E8C" w:rsidRDefault="00F16B40" w:rsidP="00C54D9A">
      <w:pPr>
        <w:pStyle w:val="BodyText"/>
        <w:spacing w:after="120" w:line="242" w:lineRule="auto"/>
        <w:rPr>
          <w:sz w:val="22"/>
          <w:szCs w:val="22"/>
        </w:rPr>
      </w:pPr>
      <w:r w:rsidRPr="00C54D9A">
        <w:rPr>
          <w:b/>
          <w:color w:val="21578A"/>
          <w:sz w:val="22"/>
          <w:szCs w:val="22"/>
        </w:rPr>
        <w:t>Annual disclosure notice requirement</w:t>
      </w:r>
      <w:r w:rsidR="00C54D9A">
        <w:rPr>
          <w:b/>
          <w:color w:val="21578A"/>
          <w:sz w:val="22"/>
          <w:szCs w:val="22"/>
        </w:rPr>
        <w:t xml:space="preserve"> – </w:t>
      </w:r>
      <w:r w:rsidRPr="00DE1E8C">
        <w:rPr>
          <w:sz w:val="22"/>
          <w:szCs w:val="22"/>
        </w:rPr>
        <w:t>All employers who offer group health plans with prescription drug coverage must provide an annual disclosure notice to “Part D eligible individuals” each year by October 15. It is difficult to identify all employees and dependents enrolled in Medicare due to age, disability, or ESRD. Therefore, we recommend that you provide the disclosure notice to all covered individuals to ensure compliance. (This includes covered dependents and r</w:t>
      </w:r>
      <w:r w:rsidR="00804458" w:rsidRPr="00DE1E8C">
        <w:rPr>
          <w:sz w:val="22"/>
          <w:szCs w:val="22"/>
        </w:rPr>
        <w:t xml:space="preserve">etirees.) PacificSource benefit </w:t>
      </w:r>
      <w:r w:rsidRPr="00DE1E8C">
        <w:rPr>
          <w:sz w:val="22"/>
          <w:szCs w:val="22"/>
        </w:rPr>
        <w:t>books and proposal summaries include Medicare Part D information.</w:t>
      </w:r>
    </w:p>
    <w:p w14:paraId="2DF129EB" w14:textId="77777777" w:rsidR="00C43450" w:rsidRPr="002D29A6" w:rsidRDefault="00C43450" w:rsidP="002D29A6">
      <w:pPr>
        <w:pStyle w:val="BodyText"/>
        <w:spacing w:line="242" w:lineRule="auto"/>
      </w:pPr>
    </w:p>
    <w:p w14:paraId="17E1EA39" w14:textId="77777777" w:rsidR="00C43450" w:rsidRPr="00DE1E8C" w:rsidRDefault="00F16B40" w:rsidP="00C54D9A">
      <w:pPr>
        <w:pStyle w:val="BodyText"/>
        <w:spacing w:after="120" w:line="242" w:lineRule="auto"/>
        <w:rPr>
          <w:sz w:val="22"/>
          <w:szCs w:val="22"/>
        </w:rPr>
      </w:pPr>
      <w:r w:rsidRPr="00C54D9A">
        <w:rPr>
          <w:b/>
          <w:color w:val="21578A"/>
          <w:sz w:val="22"/>
          <w:szCs w:val="22"/>
        </w:rPr>
        <w:t>What is the purpose of the disclosure notice?</w:t>
      </w:r>
      <w:r w:rsidR="00C54D9A">
        <w:rPr>
          <w:b/>
          <w:color w:val="21578A"/>
          <w:sz w:val="22"/>
          <w:szCs w:val="22"/>
        </w:rPr>
        <w:t xml:space="preserve"> – </w:t>
      </w:r>
      <w:r w:rsidRPr="00DE1E8C">
        <w:rPr>
          <w:sz w:val="22"/>
          <w:szCs w:val="22"/>
        </w:rPr>
        <w:t xml:space="preserve">“Part D eligible individuals” have the opportunity to receive Medicare prescription drug coverage. They also have the option of delaying enrollment in Medicare Part D without penalty if they are covered under a group health plan that provides creditable prescription drug coverage. “Part D eligible individuals” must enroll during their initial enrollment period (within the 60 days of initially becoming eligible), the annual coordinated election period (between </w:t>
      </w:r>
      <w:r w:rsidRPr="00DE1E8C">
        <w:rPr>
          <w:b/>
          <w:sz w:val="22"/>
          <w:szCs w:val="22"/>
        </w:rPr>
        <w:t xml:space="preserve">October 15 and December 7 </w:t>
      </w:r>
      <w:r w:rsidRPr="00DE1E8C">
        <w:rPr>
          <w:sz w:val="22"/>
          <w:szCs w:val="22"/>
        </w:rPr>
        <w:t xml:space="preserve">annually), or their special enrollment period (within 63 continuous days of involuntarily losing creditable coverage), to avoid the late enrollment penalty. The late enrollment penalty is 1% each month after the first eligible month. </w:t>
      </w:r>
      <w:r w:rsidR="00C54D9A">
        <w:rPr>
          <w:sz w:val="22"/>
          <w:szCs w:val="22"/>
        </w:rPr>
        <w:t>Also</w:t>
      </w:r>
      <w:r w:rsidRPr="00DE1E8C">
        <w:rPr>
          <w:sz w:val="22"/>
          <w:szCs w:val="22"/>
        </w:rPr>
        <w:t>, the individual may have to wait until the following October to enroll in Medicare Part D.</w:t>
      </w:r>
    </w:p>
    <w:p w14:paraId="50E35BFB" w14:textId="77777777" w:rsidR="00C43450" w:rsidRPr="002D29A6" w:rsidRDefault="00C43450" w:rsidP="002D29A6">
      <w:pPr>
        <w:pStyle w:val="BodyText"/>
        <w:spacing w:line="242" w:lineRule="auto"/>
      </w:pPr>
    </w:p>
    <w:p w14:paraId="3D4C8CC4" w14:textId="77777777" w:rsidR="00C43450" w:rsidRPr="00C54D9A" w:rsidRDefault="00F16B40" w:rsidP="00C54D9A">
      <w:pPr>
        <w:pStyle w:val="BodyText"/>
        <w:spacing w:after="120" w:line="242" w:lineRule="auto"/>
        <w:rPr>
          <w:b/>
          <w:color w:val="21578A"/>
          <w:sz w:val="22"/>
          <w:szCs w:val="22"/>
        </w:rPr>
      </w:pPr>
      <w:r w:rsidRPr="00C54D9A">
        <w:rPr>
          <w:b/>
          <w:color w:val="21578A"/>
          <w:sz w:val="22"/>
          <w:szCs w:val="22"/>
        </w:rPr>
        <w:t>What must be included in the disclosure notice?</w:t>
      </w:r>
    </w:p>
    <w:p w14:paraId="3CC11A36" w14:textId="77777777" w:rsidR="00C43450" w:rsidRPr="00DE1E8C" w:rsidRDefault="00F16B40">
      <w:pPr>
        <w:pStyle w:val="ListParagraph"/>
        <w:numPr>
          <w:ilvl w:val="0"/>
          <w:numId w:val="1"/>
        </w:numPr>
        <w:tabs>
          <w:tab w:val="left" w:pos="860"/>
          <w:tab w:val="left" w:pos="861"/>
        </w:tabs>
        <w:spacing w:before="3" w:line="245" w:lineRule="exact"/>
      </w:pPr>
      <w:r w:rsidRPr="00DE1E8C">
        <w:t>Whether</w:t>
      </w:r>
      <w:r w:rsidRPr="00DE1E8C">
        <w:rPr>
          <w:spacing w:val="-6"/>
        </w:rPr>
        <w:t xml:space="preserve"> </w:t>
      </w:r>
      <w:r w:rsidRPr="00DE1E8C">
        <w:t>or</w:t>
      </w:r>
      <w:r w:rsidRPr="00DE1E8C">
        <w:rPr>
          <w:spacing w:val="-5"/>
        </w:rPr>
        <w:t xml:space="preserve"> </w:t>
      </w:r>
      <w:r w:rsidRPr="00DE1E8C">
        <w:t>not</w:t>
      </w:r>
      <w:r w:rsidRPr="00DE1E8C">
        <w:rPr>
          <w:spacing w:val="-2"/>
        </w:rPr>
        <w:t xml:space="preserve"> </w:t>
      </w:r>
      <w:r w:rsidRPr="00DE1E8C">
        <w:t>your</w:t>
      </w:r>
      <w:r w:rsidRPr="00DE1E8C">
        <w:rPr>
          <w:spacing w:val="-6"/>
        </w:rPr>
        <w:t xml:space="preserve"> </w:t>
      </w:r>
      <w:r w:rsidRPr="00DE1E8C">
        <w:t>group</w:t>
      </w:r>
      <w:r w:rsidRPr="00DE1E8C">
        <w:rPr>
          <w:spacing w:val="-5"/>
        </w:rPr>
        <w:t xml:space="preserve"> </w:t>
      </w:r>
      <w:r w:rsidRPr="00DE1E8C">
        <w:t>health</w:t>
      </w:r>
      <w:r w:rsidRPr="00DE1E8C">
        <w:rPr>
          <w:spacing w:val="-5"/>
        </w:rPr>
        <w:t xml:space="preserve"> </w:t>
      </w:r>
      <w:r w:rsidRPr="00DE1E8C">
        <w:t>plan’s</w:t>
      </w:r>
      <w:r w:rsidRPr="00DE1E8C">
        <w:rPr>
          <w:spacing w:val="-5"/>
        </w:rPr>
        <w:t xml:space="preserve"> </w:t>
      </w:r>
      <w:r w:rsidRPr="00DE1E8C">
        <w:t>prescription</w:t>
      </w:r>
      <w:r w:rsidRPr="00DE1E8C">
        <w:rPr>
          <w:spacing w:val="-7"/>
        </w:rPr>
        <w:t xml:space="preserve"> </w:t>
      </w:r>
      <w:r w:rsidRPr="00DE1E8C">
        <w:t>drug</w:t>
      </w:r>
      <w:r w:rsidRPr="00DE1E8C">
        <w:rPr>
          <w:spacing w:val="-7"/>
        </w:rPr>
        <w:t xml:space="preserve"> </w:t>
      </w:r>
      <w:r w:rsidRPr="00DE1E8C">
        <w:t>coverage</w:t>
      </w:r>
      <w:r w:rsidRPr="00DE1E8C">
        <w:rPr>
          <w:spacing w:val="-6"/>
        </w:rPr>
        <w:t xml:space="preserve"> </w:t>
      </w:r>
      <w:r w:rsidRPr="00DE1E8C">
        <w:t>is</w:t>
      </w:r>
      <w:r w:rsidRPr="00DE1E8C">
        <w:rPr>
          <w:spacing w:val="-5"/>
        </w:rPr>
        <w:t xml:space="preserve"> </w:t>
      </w:r>
      <w:r w:rsidRPr="00DE1E8C">
        <w:t>creditable</w:t>
      </w:r>
    </w:p>
    <w:p w14:paraId="57176FBE" w14:textId="77777777" w:rsidR="00C43450" w:rsidRPr="00DE1E8C" w:rsidRDefault="00F16B40">
      <w:pPr>
        <w:pStyle w:val="ListParagraph"/>
        <w:numPr>
          <w:ilvl w:val="0"/>
          <w:numId w:val="1"/>
        </w:numPr>
        <w:tabs>
          <w:tab w:val="left" w:pos="860"/>
          <w:tab w:val="left" w:pos="861"/>
        </w:tabs>
        <w:spacing w:before="4" w:line="235" w:lineRule="auto"/>
        <w:ind w:right="270"/>
      </w:pPr>
      <w:r w:rsidRPr="00DE1E8C">
        <w:t>Information</w:t>
      </w:r>
      <w:r w:rsidRPr="00DE1E8C">
        <w:rPr>
          <w:spacing w:val="-6"/>
        </w:rPr>
        <w:t xml:space="preserve"> </w:t>
      </w:r>
      <w:r w:rsidRPr="00DE1E8C">
        <w:t>regarding</w:t>
      </w:r>
      <w:r w:rsidRPr="00DE1E8C">
        <w:rPr>
          <w:spacing w:val="-4"/>
        </w:rPr>
        <w:t xml:space="preserve"> </w:t>
      </w:r>
      <w:r w:rsidRPr="00DE1E8C">
        <w:t>opportunities</w:t>
      </w:r>
      <w:r w:rsidRPr="00DE1E8C">
        <w:rPr>
          <w:spacing w:val="-4"/>
        </w:rPr>
        <w:t xml:space="preserve"> </w:t>
      </w:r>
      <w:r w:rsidRPr="00DE1E8C">
        <w:t>to</w:t>
      </w:r>
      <w:r w:rsidRPr="00DE1E8C">
        <w:rPr>
          <w:spacing w:val="-3"/>
        </w:rPr>
        <w:t xml:space="preserve"> </w:t>
      </w:r>
      <w:r w:rsidRPr="00DE1E8C">
        <w:t>enroll</w:t>
      </w:r>
      <w:r w:rsidRPr="00DE1E8C">
        <w:rPr>
          <w:spacing w:val="-4"/>
        </w:rPr>
        <w:t xml:space="preserve"> </w:t>
      </w:r>
      <w:r w:rsidRPr="00DE1E8C">
        <w:t>in</w:t>
      </w:r>
      <w:r w:rsidRPr="00DE1E8C">
        <w:rPr>
          <w:spacing w:val="-3"/>
        </w:rPr>
        <w:t xml:space="preserve"> </w:t>
      </w:r>
      <w:r w:rsidRPr="00DE1E8C">
        <w:t>Medicare</w:t>
      </w:r>
      <w:r w:rsidRPr="00DE1E8C">
        <w:rPr>
          <w:spacing w:val="-5"/>
        </w:rPr>
        <w:t xml:space="preserve"> </w:t>
      </w:r>
      <w:r w:rsidRPr="00DE1E8C">
        <w:t>Part</w:t>
      </w:r>
      <w:r w:rsidRPr="00DE1E8C">
        <w:rPr>
          <w:spacing w:val="-2"/>
        </w:rPr>
        <w:t xml:space="preserve"> </w:t>
      </w:r>
      <w:r w:rsidRPr="00DE1E8C">
        <w:t>D</w:t>
      </w:r>
      <w:r w:rsidRPr="00DE1E8C">
        <w:rPr>
          <w:spacing w:val="-5"/>
        </w:rPr>
        <w:t xml:space="preserve"> </w:t>
      </w:r>
      <w:r w:rsidRPr="00DE1E8C">
        <w:t>and</w:t>
      </w:r>
      <w:r w:rsidRPr="00DE1E8C">
        <w:rPr>
          <w:spacing w:val="-6"/>
        </w:rPr>
        <w:t xml:space="preserve"> </w:t>
      </w:r>
      <w:r w:rsidRPr="00DE1E8C">
        <w:t>the</w:t>
      </w:r>
      <w:r w:rsidRPr="00DE1E8C">
        <w:rPr>
          <w:spacing w:val="-6"/>
        </w:rPr>
        <w:t xml:space="preserve"> </w:t>
      </w:r>
      <w:r w:rsidRPr="00DE1E8C">
        <w:t>employee’s</w:t>
      </w:r>
      <w:r w:rsidRPr="00DE1E8C">
        <w:rPr>
          <w:spacing w:val="-4"/>
        </w:rPr>
        <w:t xml:space="preserve"> </w:t>
      </w:r>
      <w:r w:rsidRPr="00DE1E8C">
        <w:t>right</w:t>
      </w:r>
      <w:r w:rsidRPr="00DE1E8C">
        <w:rPr>
          <w:spacing w:val="-5"/>
        </w:rPr>
        <w:t xml:space="preserve"> </w:t>
      </w:r>
      <w:r w:rsidRPr="00DE1E8C">
        <w:t>to</w:t>
      </w:r>
      <w:r w:rsidRPr="00DE1E8C">
        <w:rPr>
          <w:spacing w:val="-5"/>
        </w:rPr>
        <w:t xml:space="preserve"> </w:t>
      </w:r>
      <w:r w:rsidRPr="00DE1E8C">
        <w:t>such information</w:t>
      </w:r>
    </w:p>
    <w:p w14:paraId="3926BBF8" w14:textId="77777777" w:rsidR="00C43450" w:rsidRPr="00DE1E8C" w:rsidRDefault="00F16B40">
      <w:pPr>
        <w:pStyle w:val="ListParagraph"/>
        <w:numPr>
          <w:ilvl w:val="0"/>
          <w:numId w:val="1"/>
        </w:numPr>
        <w:tabs>
          <w:tab w:val="left" w:pos="860"/>
          <w:tab w:val="left" w:pos="861"/>
        </w:tabs>
        <w:spacing w:before="1" w:line="244" w:lineRule="exact"/>
      </w:pPr>
      <w:r w:rsidRPr="00DE1E8C">
        <w:t>Financial assistance</w:t>
      </w:r>
      <w:r w:rsidRPr="00DE1E8C">
        <w:rPr>
          <w:spacing w:val="-25"/>
        </w:rPr>
        <w:t xml:space="preserve"> </w:t>
      </w:r>
      <w:r w:rsidRPr="00DE1E8C">
        <w:t>information</w:t>
      </w:r>
    </w:p>
    <w:p w14:paraId="1E05DACF" w14:textId="77777777" w:rsidR="00C43450" w:rsidRPr="00DE1E8C" w:rsidRDefault="00F16B40">
      <w:pPr>
        <w:pStyle w:val="ListParagraph"/>
        <w:numPr>
          <w:ilvl w:val="0"/>
          <w:numId w:val="1"/>
        </w:numPr>
        <w:tabs>
          <w:tab w:val="left" w:pos="860"/>
          <w:tab w:val="left" w:pos="861"/>
        </w:tabs>
        <w:spacing w:line="244" w:lineRule="exact"/>
      </w:pPr>
      <w:r w:rsidRPr="00DE1E8C">
        <w:t>Contact information for the Social Security</w:t>
      </w:r>
      <w:r w:rsidRPr="00DE1E8C">
        <w:rPr>
          <w:spacing w:val="-41"/>
        </w:rPr>
        <w:t xml:space="preserve"> </w:t>
      </w:r>
      <w:r w:rsidRPr="00DE1E8C">
        <w:t>Administration</w:t>
      </w:r>
    </w:p>
    <w:p w14:paraId="61A7F623" w14:textId="77777777" w:rsidR="00C43450" w:rsidRPr="002D29A6" w:rsidRDefault="00C43450" w:rsidP="002D29A6">
      <w:pPr>
        <w:pStyle w:val="BodyText"/>
        <w:spacing w:line="242" w:lineRule="auto"/>
      </w:pPr>
    </w:p>
    <w:p w14:paraId="039A8CBD" w14:textId="68981DD3" w:rsidR="00DC32D4" w:rsidRDefault="00804458" w:rsidP="00DC32D4">
      <w:pPr>
        <w:pStyle w:val="BodyText"/>
        <w:spacing w:after="120" w:line="242" w:lineRule="auto"/>
        <w:rPr>
          <w:sz w:val="22"/>
          <w:szCs w:val="22"/>
        </w:rPr>
        <w:sectPr w:rsidR="00DC32D4" w:rsidSect="00C54D9A">
          <w:headerReference w:type="default" r:id="rId7"/>
          <w:footerReference w:type="default" r:id="rId8"/>
          <w:pgSz w:w="12240" w:h="15840"/>
          <w:pgMar w:top="1360" w:right="1340" w:bottom="280" w:left="1340" w:header="720" w:footer="900" w:gutter="0"/>
          <w:cols w:space="720"/>
        </w:sectPr>
      </w:pPr>
      <w:r w:rsidRPr="00C54D9A">
        <w:rPr>
          <w:b/>
          <w:color w:val="21578A"/>
          <w:sz w:val="22"/>
          <w:szCs w:val="22"/>
        </w:rPr>
        <w:t xml:space="preserve">What is creditable prescription drug coverage? </w:t>
      </w:r>
      <w:r w:rsidR="007A3FCD">
        <w:rPr>
          <w:b/>
          <w:color w:val="21578A"/>
          <w:sz w:val="22"/>
          <w:szCs w:val="22"/>
        </w:rPr>
        <w:t xml:space="preserve">– </w:t>
      </w:r>
      <w:r w:rsidRPr="00DE1E8C">
        <w:rPr>
          <w:sz w:val="22"/>
          <w:szCs w:val="22"/>
        </w:rPr>
        <w:t>Coverage is creditable if it provides coverage for prescription drugs that is equal to or exceeds coverage under the standard Medicare Part D program.</w:t>
      </w:r>
    </w:p>
    <w:p w14:paraId="5B829591" w14:textId="0E6F45F2" w:rsidR="0094207A" w:rsidRPr="0094207A" w:rsidRDefault="002D29A6" w:rsidP="0094207A">
      <w:pPr>
        <w:pStyle w:val="BodyText"/>
        <w:spacing w:after="120" w:line="242" w:lineRule="auto"/>
        <w:rPr>
          <w:sz w:val="22"/>
          <w:szCs w:val="22"/>
        </w:rPr>
      </w:pPr>
      <w:r w:rsidRPr="008329B0">
        <w:rPr>
          <w:b/>
          <w:color w:val="21578A"/>
          <w:sz w:val="22"/>
          <w:szCs w:val="22"/>
        </w:rPr>
        <w:lastRenderedPageBreak/>
        <w:t xml:space="preserve">How do I know if my plan is creditable? </w:t>
      </w:r>
      <w:r w:rsidR="007A3FCD" w:rsidRPr="007A3FCD">
        <w:rPr>
          <w:b/>
          <w:color w:val="21578A"/>
          <w:sz w:val="22"/>
          <w:szCs w:val="22"/>
        </w:rPr>
        <w:t xml:space="preserve">– </w:t>
      </w:r>
      <w:r w:rsidR="0094207A" w:rsidRPr="0094207A">
        <w:rPr>
          <w:sz w:val="22"/>
          <w:szCs w:val="22"/>
        </w:rPr>
        <w:t>Annually, PacificSource evaluates our standard benefit designs by applying the actuarial value test for creditable coverage determination. We use this information to create our Creditability Matrix document, which you may use as a starting point to determine whether your prescription drug plan satisfies the requirements of creditable coverage. You will need to consult the pharmacy benefit summary to determine the plan’s description of benefits. If you are unable to determine your plan’s Medicare Part D creditability from the materials provided, you may request additional information from your sales representative.</w:t>
      </w:r>
      <w:r w:rsidR="0094207A" w:rsidRPr="0094207A">
        <w:t xml:space="preserve"> </w:t>
      </w:r>
      <w:bookmarkStart w:id="0" w:name="_GoBack"/>
      <w:bookmarkEnd w:id="0"/>
    </w:p>
    <w:p w14:paraId="3BB0B092" w14:textId="77777777" w:rsidR="0094207A" w:rsidRPr="0094207A" w:rsidRDefault="0094207A" w:rsidP="0094207A">
      <w:pPr>
        <w:pStyle w:val="CommentText"/>
      </w:pPr>
    </w:p>
    <w:p w14:paraId="0472A32A" w14:textId="77777777" w:rsidR="0094207A" w:rsidRDefault="0094207A" w:rsidP="0094207A">
      <w:pPr>
        <w:pStyle w:val="CommentText"/>
      </w:pPr>
      <w:r w:rsidRPr="0094207A">
        <w:rPr>
          <w:sz w:val="22"/>
          <w:szCs w:val="22"/>
        </w:rPr>
        <w:t xml:space="preserve">View our Medicare Part D Creditability Matrix at </w:t>
      </w:r>
      <w:hyperlink r:id="rId9" w:history="1">
        <w:r w:rsidRPr="0094207A">
          <w:rPr>
            <w:rStyle w:val="Hyperlink"/>
            <w:sz w:val="22"/>
            <w:szCs w:val="22"/>
          </w:rPr>
          <w:t>PacificSource.com/admin/forms-and-materials.aspx</w:t>
        </w:r>
      </w:hyperlink>
      <w:r w:rsidRPr="0094207A">
        <w:rPr>
          <w:sz w:val="22"/>
          <w:szCs w:val="22"/>
        </w:rPr>
        <w:t>. (Select your state, select Manage Employee Coverage, and then scroll down to the Medicare Part D Notices heading.)</w:t>
      </w:r>
    </w:p>
    <w:p w14:paraId="3AB46A06" w14:textId="77777777" w:rsidR="0094207A" w:rsidRPr="007A3FCD" w:rsidRDefault="0094207A" w:rsidP="007A3FCD">
      <w:pPr>
        <w:pStyle w:val="BodyText"/>
        <w:spacing w:after="120" w:line="242" w:lineRule="auto"/>
        <w:rPr>
          <w:b/>
          <w:color w:val="21578A"/>
          <w:sz w:val="22"/>
          <w:szCs w:val="22"/>
        </w:rPr>
      </w:pPr>
    </w:p>
    <w:p w14:paraId="49DB3FDA" w14:textId="77777777" w:rsidR="0080301B" w:rsidRPr="002D29A6" w:rsidRDefault="0080301B" w:rsidP="002D29A6">
      <w:pPr>
        <w:pStyle w:val="BodyText"/>
        <w:spacing w:line="242" w:lineRule="auto"/>
      </w:pPr>
    </w:p>
    <w:p w14:paraId="7B2D5AC5" w14:textId="77777777" w:rsidR="0080301B" w:rsidRPr="00DE1E8C" w:rsidRDefault="0080301B" w:rsidP="00C54D9A">
      <w:pPr>
        <w:pStyle w:val="BodyText"/>
        <w:spacing w:after="120" w:line="242" w:lineRule="auto"/>
        <w:rPr>
          <w:sz w:val="22"/>
          <w:szCs w:val="22"/>
        </w:rPr>
      </w:pPr>
      <w:r w:rsidRPr="00C54D9A">
        <w:rPr>
          <w:b/>
          <w:color w:val="21578A"/>
          <w:sz w:val="22"/>
          <w:szCs w:val="22"/>
        </w:rPr>
        <w:t xml:space="preserve">Sample disclosure notices </w:t>
      </w:r>
      <w:r w:rsidR="00C54D9A">
        <w:rPr>
          <w:b/>
          <w:color w:val="21578A"/>
          <w:sz w:val="22"/>
          <w:szCs w:val="22"/>
        </w:rPr>
        <w:t xml:space="preserve">– </w:t>
      </w:r>
      <w:r w:rsidRPr="00DE1E8C">
        <w:rPr>
          <w:sz w:val="22"/>
          <w:szCs w:val="22"/>
        </w:rPr>
        <w:t xml:space="preserve">These notices are based on the CMS model notices and should satisfy the content requirement for a disclosure notice. Sample disclosure notices for both creditable and </w:t>
      </w:r>
      <w:proofErr w:type="spellStart"/>
      <w:r w:rsidRPr="00DE1E8C">
        <w:rPr>
          <w:sz w:val="22"/>
          <w:szCs w:val="22"/>
        </w:rPr>
        <w:t>noncreditable</w:t>
      </w:r>
      <w:proofErr w:type="spellEnd"/>
      <w:r w:rsidRPr="00DE1E8C">
        <w:rPr>
          <w:sz w:val="22"/>
          <w:szCs w:val="22"/>
        </w:rPr>
        <w:t xml:space="preserve"> plans can be found at </w:t>
      </w:r>
      <w:hyperlink r:id="rId10" w:history="1">
        <w:r w:rsidRPr="00DE1E8C">
          <w:rPr>
            <w:rStyle w:val="Hyperlink"/>
            <w:sz w:val="22"/>
            <w:szCs w:val="22"/>
          </w:rPr>
          <w:t>PacificSource.com/admin/forms-and-materials.aspx</w:t>
        </w:r>
      </w:hyperlink>
      <w:r w:rsidRPr="00DE1E8C">
        <w:rPr>
          <w:sz w:val="22"/>
          <w:szCs w:val="22"/>
        </w:rPr>
        <w:t xml:space="preserve">. </w:t>
      </w:r>
      <w:r w:rsidR="00C54D9A">
        <w:rPr>
          <w:sz w:val="22"/>
          <w:szCs w:val="22"/>
        </w:rPr>
        <w:t>(</w:t>
      </w:r>
      <w:r w:rsidRPr="00DE1E8C">
        <w:rPr>
          <w:sz w:val="22"/>
          <w:szCs w:val="22"/>
        </w:rPr>
        <w:t>Select your state</w:t>
      </w:r>
      <w:r w:rsidR="00C54D9A">
        <w:rPr>
          <w:sz w:val="22"/>
          <w:szCs w:val="22"/>
        </w:rPr>
        <w:t>, s</w:t>
      </w:r>
      <w:r w:rsidRPr="00DE1E8C">
        <w:rPr>
          <w:sz w:val="22"/>
          <w:szCs w:val="22"/>
        </w:rPr>
        <w:t>elect Manage Employee Coverage</w:t>
      </w:r>
      <w:r w:rsidR="00C54D9A">
        <w:rPr>
          <w:sz w:val="22"/>
          <w:szCs w:val="22"/>
        </w:rPr>
        <w:t xml:space="preserve">, </w:t>
      </w:r>
      <w:r w:rsidR="00DC32D4">
        <w:rPr>
          <w:sz w:val="22"/>
          <w:szCs w:val="22"/>
        </w:rPr>
        <w:t xml:space="preserve">and </w:t>
      </w:r>
      <w:r w:rsidR="00C54D9A">
        <w:rPr>
          <w:sz w:val="22"/>
          <w:szCs w:val="22"/>
        </w:rPr>
        <w:t>then s</w:t>
      </w:r>
      <w:r w:rsidRPr="00DE1E8C">
        <w:rPr>
          <w:sz w:val="22"/>
          <w:szCs w:val="22"/>
        </w:rPr>
        <w:t>croll down to the Medicare Part D Notices heading</w:t>
      </w:r>
      <w:r w:rsidR="00C54D9A">
        <w:rPr>
          <w:sz w:val="22"/>
          <w:szCs w:val="22"/>
        </w:rPr>
        <w:t>.)</w:t>
      </w:r>
    </w:p>
    <w:p w14:paraId="160029D6" w14:textId="77777777" w:rsidR="0080301B" w:rsidRPr="00DE1E8C" w:rsidRDefault="0080301B" w:rsidP="0080301B">
      <w:pPr>
        <w:widowControl/>
        <w:adjustRightInd w:val="0"/>
      </w:pPr>
      <w:r w:rsidRPr="00DE1E8C">
        <w:t xml:space="preserve">The sample notices are also available through PacificSource InTouch for Employers. </w:t>
      </w:r>
    </w:p>
    <w:p w14:paraId="1F51AA5F" w14:textId="77777777" w:rsidR="0080301B" w:rsidRPr="002D29A6" w:rsidRDefault="0080301B" w:rsidP="002D29A6">
      <w:pPr>
        <w:pStyle w:val="BodyText"/>
        <w:spacing w:line="242" w:lineRule="auto"/>
      </w:pPr>
    </w:p>
    <w:p w14:paraId="1B01B7C2" w14:textId="77777777" w:rsidR="00C43450" w:rsidRPr="00DE1E8C" w:rsidRDefault="00F16B40" w:rsidP="00C54D9A">
      <w:pPr>
        <w:pStyle w:val="BodyText"/>
        <w:spacing w:after="120" w:line="242" w:lineRule="auto"/>
        <w:rPr>
          <w:sz w:val="22"/>
          <w:szCs w:val="22"/>
        </w:rPr>
      </w:pPr>
      <w:r w:rsidRPr="00C54D9A">
        <w:rPr>
          <w:b/>
          <w:color w:val="21578A"/>
          <w:sz w:val="22"/>
          <w:szCs w:val="22"/>
        </w:rPr>
        <w:t>Timing for delivery of the disclosure notice</w:t>
      </w:r>
      <w:r w:rsidR="0080301B" w:rsidRPr="00C54D9A">
        <w:rPr>
          <w:b/>
          <w:color w:val="21578A"/>
          <w:sz w:val="22"/>
          <w:szCs w:val="22"/>
        </w:rPr>
        <w:t xml:space="preserve"> </w:t>
      </w:r>
      <w:r w:rsidR="00C54D9A">
        <w:rPr>
          <w:b/>
          <w:color w:val="21578A"/>
          <w:sz w:val="22"/>
          <w:szCs w:val="22"/>
        </w:rPr>
        <w:t xml:space="preserve">– </w:t>
      </w:r>
      <w:r w:rsidRPr="00DE1E8C">
        <w:rPr>
          <w:sz w:val="22"/>
          <w:szCs w:val="22"/>
        </w:rPr>
        <w:t>CMS recommends that the disclosure notice must be provided to “Part D eligible individuals” at least five times:</w:t>
      </w:r>
    </w:p>
    <w:p w14:paraId="2BF35EA0" w14:textId="77777777" w:rsidR="00C43450" w:rsidRPr="002D29A6" w:rsidRDefault="00C43450" w:rsidP="002D29A6">
      <w:pPr>
        <w:pStyle w:val="BodyText"/>
        <w:spacing w:line="242" w:lineRule="auto"/>
      </w:pPr>
    </w:p>
    <w:p w14:paraId="3281EF1A" w14:textId="77777777" w:rsidR="00C43450" w:rsidRPr="00DE1E8C" w:rsidRDefault="00F16B40">
      <w:pPr>
        <w:pStyle w:val="ListParagraph"/>
        <w:numPr>
          <w:ilvl w:val="0"/>
          <w:numId w:val="1"/>
        </w:numPr>
        <w:tabs>
          <w:tab w:val="left" w:pos="820"/>
          <w:tab w:val="left" w:pos="821"/>
        </w:tabs>
        <w:spacing w:line="245" w:lineRule="exact"/>
        <w:ind w:left="820"/>
      </w:pPr>
      <w:r w:rsidRPr="00DE1E8C">
        <w:t>Prior</w:t>
      </w:r>
      <w:r w:rsidRPr="00DE1E8C">
        <w:rPr>
          <w:spacing w:val="-6"/>
        </w:rPr>
        <w:t xml:space="preserve"> </w:t>
      </w:r>
      <w:r w:rsidRPr="00DE1E8C">
        <w:t>to</w:t>
      </w:r>
      <w:r w:rsidRPr="00DE1E8C">
        <w:rPr>
          <w:spacing w:val="-6"/>
        </w:rPr>
        <w:t xml:space="preserve"> </w:t>
      </w:r>
      <w:r w:rsidRPr="00DE1E8C">
        <w:t>October</w:t>
      </w:r>
      <w:r w:rsidRPr="00DE1E8C">
        <w:rPr>
          <w:spacing w:val="-3"/>
        </w:rPr>
        <w:t xml:space="preserve"> </w:t>
      </w:r>
      <w:r w:rsidRPr="00DE1E8C">
        <w:t>15</w:t>
      </w:r>
      <w:r w:rsidRPr="00DE1E8C">
        <w:rPr>
          <w:spacing w:val="-5"/>
        </w:rPr>
        <w:t xml:space="preserve"> </w:t>
      </w:r>
      <w:r w:rsidRPr="00DE1E8C">
        <w:t>each</w:t>
      </w:r>
      <w:r w:rsidRPr="00DE1E8C">
        <w:rPr>
          <w:spacing w:val="-2"/>
        </w:rPr>
        <w:t xml:space="preserve"> </w:t>
      </w:r>
      <w:r w:rsidRPr="00DE1E8C">
        <w:t>year</w:t>
      </w:r>
      <w:r w:rsidRPr="00DE1E8C">
        <w:rPr>
          <w:spacing w:val="-4"/>
        </w:rPr>
        <w:t xml:space="preserve"> </w:t>
      </w:r>
      <w:r w:rsidRPr="00DE1E8C">
        <w:t>(the</w:t>
      </w:r>
      <w:r w:rsidRPr="00DE1E8C">
        <w:rPr>
          <w:spacing w:val="-6"/>
        </w:rPr>
        <w:t xml:space="preserve"> </w:t>
      </w:r>
      <w:r w:rsidRPr="00DE1E8C">
        <w:t>annual</w:t>
      </w:r>
      <w:r w:rsidRPr="00DE1E8C">
        <w:rPr>
          <w:spacing w:val="-7"/>
        </w:rPr>
        <w:t xml:space="preserve"> </w:t>
      </w:r>
      <w:r w:rsidRPr="00DE1E8C">
        <w:t>coordinated</w:t>
      </w:r>
      <w:r w:rsidRPr="00DE1E8C">
        <w:rPr>
          <w:spacing w:val="-5"/>
        </w:rPr>
        <w:t xml:space="preserve"> </w:t>
      </w:r>
      <w:r w:rsidRPr="00DE1E8C">
        <w:t>election</w:t>
      </w:r>
      <w:r w:rsidRPr="00DE1E8C">
        <w:rPr>
          <w:spacing w:val="-5"/>
        </w:rPr>
        <w:t xml:space="preserve"> </w:t>
      </w:r>
      <w:r w:rsidRPr="00DE1E8C">
        <w:t>period)</w:t>
      </w:r>
    </w:p>
    <w:p w14:paraId="3DBE7D28" w14:textId="77777777" w:rsidR="00C43450" w:rsidRPr="00DE1E8C" w:rsidRDefault="00F16B40">
      <w:pPr>
        <w:pStyle w:val="ListParagraph"/>
        <w:numPr>
          <w:ilvl w:val="0"/>
          <w:numId w:val="1"/>
        </w:numPr>
        <w:tabs>
          <w:tab w:val="left" w:pos="820"/>
          <w:tab w:val="left" w:pos="821"/>
        </w:tabs>
        <w:spacing w:before="4" w:line="235" w:lineRule="auto"/>
        <w:ind w:left="820" w:right="321"/>
      </w:pPr>
      <w:r w:rsidRPr="00DE1E8C">
        <w:t>Prior to the period during which the individual becomes eligible to enroll in Medicare Part D (the individual’s initial enrollment</w:t>
      </w:r>
      <w:r w:rsidRPr="00DE1E8C">
        <w:rPr>
          <w:spacing w:val="-27"/>
        </w:rPr>
        <w:t xml:space="preserve"> </w:t>
      </w:r>
      <w:r w:rsidRPr="00DE1E8C">
        <w:t>period)</w:t>
      </w:r>
    </w:p>
    <w:p w14:paraId="4FD430A9" w14:textId="77777777" w:rsidR="00C43450" w:rsidRPr="00DE1E8C" w:rsidRDefault="00F16B40">
      <w:pPr>
        <w:pStyle w:val="ListParagraph"/>
        <w:numPr>
          <w:ilvl w:val="0"/>
          <w:numId w:val="1"/>
        </w:numPr>
        <w:tabs>
          <w:tab w:val="left" w:pos="820"/>
          <w:tab w:val="left" w:pos="821"/>
        </w:tabs>
        <w:spacing w:before="1"/>
        <w:ind w:left="820" w:right="744"/>
      </w:pPr>
      <w:r w:rsidRPr="00DE1E8C">
        <w:t>Prior</w:t>
      </w:r>
      <w:r w:rsidRPr="00DE1E8C">
        <w:rPr>
          <w:spacing w:val="-5"/>
        </w:rPr>
        <w:t xml:space="preserve"> </w:t>
      </w:r>
      <w:r w:rsidRPr="00DE1E8C">
        <w:t>to</w:t>
      </w:r>
      <w:r w:rsidRPr="00DE1E8C">
        <w:rPr>
          <w:spacing w:val="-5"/>
        </w:rPr>
        <w:t xml:space="preserve"> </w:t>
      </w:r>
      <w:r w:rsidRPr="00DE1E8C">
        <w:t>the</w:t>
      </w:r>
      <w:r w:rsidRPr="00DE1E8C">
        <w:rPr>
          <w:spacing w:val="-5"/>
        </w:rPr>
        <w:t xml:space="preserve"> </w:t>
      </w:r>
      <w:r w:rsidRPr="00DE1E8C">
        <w:t>effective</w:t>
      </w:r>
      <w:r w:rsidRPr="00DE1E8C">
        <w:rPr>
          <w:spacing w:val="-3"/>
        </w:rPr>
        <w:t xml:space="preserve"> </w:t>
      </w:r>
      <w:r w:rsidRPr="00DE1E8C">
        <w:t>date</w:t>
      </w:r>
      <w:r w:rsidRPr="00DE1E8C">
        <w:rPr>
          <w:spacing w:val="-5"/>
        </w:rPr>
        <w:t xml:space="preserve"> </w:t>
      </w:r>
      <w:r w:rsidRPr="00DE1E8C">
        <w:t>of</w:t>
      </w:r>
      <w:r w:rsidRPr="00DE1E8C">
        <w:rPr>
          <w:spacing w:val="-3"/>
        </w:rPr>
        <w:t xml:space="preserve"> </w:t>
      </w:r>
      <w:r w:rsidRPr="00DE1E8C">
        <w:t>coverage</w:t>
      </w:r>
      <w:r w:rsidRPr="00DE1E8C">
        <w:rPr>
          <w:spacing w:val="-6"/>
        </w:rPr>
        <w:t xml:space="preserve"> </w:t>
      </w:r>
      <w:r w:rsidRPr="00DE1E8C">
        <w:t>for</w:t>
      </w:r>
      <w:r w:rsidRPr="00DE1E8C">
        <w:rPr>
          <w:spacing w:val="-5"/>
        </w:rPr>
        <w:t xml:space="preserve"> </w:t>
      </w:r>
      <w:r w:rsidRPr="00DE1E8C">
        <w:t>any</w:t>
      </w:r>
      <w:r w:rsidRPr="00DE1E8C">
        <w:rPr>
          <w:spacing w:val="-8"/>
        </w:rPr>
        <w:t xml:space="preserve"> </w:t>
      </w:r>
      <w:r w:rsidRPr="00DE1E8C">
        <w:t>“Part</w:t>
      </w:r>
      <w:r w:rsidRPr="00DE1E8C">
        <w:rPr>
          <w:spacing w:val="-5"/>
        </w:rPr>
        <w:t xml:space="preserve"> </w:t>
      </w:r>
      <w:r w:rsidRPr="00DE1E8C">
        <w:t>D</w:t>
      </w:r>
      <w:r w:rsidRPr="00DE1E8C">
        <w:rPr>
          <w:spacing w:val="-2"/>
        </w:rPr>
        <w:t xml:space="preserve"> </w:t>
      </w:r>
      <w:r w:rsidRPr="00DE1E8C">
        <w:t>eligible</w:t>
      </w:r>
      <w:r w:rsidRPr="00DE1E8C">
        <w:rPr>
          <w:spacing w:val="-5"/>
        </w:rPr>
        <w:t xml:space="preserve"> </w:t>
      </w:r>
      <w:r w:rsidRPr="00DE1E8C">
        <w:t>individual”</w:t>
      </w:r>
      <w:r w:rsidRPr="00DE1E8C">
        <w:rPr>
          <w:spacing w:val="-4"/>
        </w:rPr>
        <w:t xml:space="preserve"> </w:t>
      </w:r>
      <w:r w:rsidRPr="00DE1E8C">
        <w:t>that</w:t>
      </w:r>
      <w:r w:rsidRPr="00DE1E8C">
        <w:rPr>
          <w:spacing w:val="-3"/>
        </w:rPr>
        <w:t xml:space="preserve"> </w:t>
      </w:r>
      <w:r w:rsidRPr="00DE1E8C">
        <w:t>enrolls</w:t>
      </w:r>
      <w:r w:rsidRPr="00DE1E8C">
        <w:rPr>
          <w:spacing w:val="-4"/>
        </w:rPr>
        <w:t xml:space="preserve"> </w:t>
      </w:r>
      <w:r w:rsidRPr="00DE1E8C">
        <w:t>in</w:t>
      </w:r>
      <w:r w:rsidRPr="00DE1E8C">
        <w:rPr>
          <w:spacing w:val="-1"/>
        </w:rPr>
        <w:t xml:space="preserve"> </w:t>
      </w:r>
      <w:r w:rsidRPr="00DE1E8C">
        <w:t>your prescription drug</w:t>
      </w:r>
      <w:r w:rsidRPr="00DE1E8C">
        <w:rPr>
          <w:spacing w:val="-21"/>
        </w:rPr>
        <w:t xml:space="preserve"> </w:t>
      </w:r>
      <w:r w:rsidRPr="00DE1E8C">
        <w:t>coverage</w:t>
      </w:r>
    </w:p>
    <w:p w14:paraId="1A5BA807" w14:textId="77777777" w:rsidR="00C43450" w:rsidRPr="00DE1E8C" w:rsidRDefault="00F16B40">
      <w:pPr>
        <w:pStyle w:val="ListParagraph"/>
        <w:numPr>
          <w:ilvl w:val="0"/>
          <w:numId w:val="1"/>
        </w:numPr>
        <w:tabs>
          <w:tab w:val="left" w:pos="820"/>
          <w:tab w:val="left" w:pos="821"/>
        </w:tabs>
        <w:ind w:left="820" w:right="1033"/>
      </w:pPr>
      <w:r w:rsidRPr="00DE1E8C">
        <w:t>Whenever your prescription drug coverage ends or changes creditability status (special enrollment period see</w:t>
      </w:r>
      <w:r w:rsidRPr="00DE1E8C">
        <w:rPr>
          <w:spacing w:val="-19"/>
        </w:rPr>
        <w:t xml:space="preserve"> </w:t>
      </w:r>
      <w:r w:rsidRPr="00DE1E8C">
        <w:t>below)</w:t>
      </w:r>
    </w:p>
    <w:p w14:paraId="4949C5D8" w14:textId="77777777" w:rsidR="00C43450" w:rsidRPr="00DE1E8C" w:rsidRDefault="00F16B40">
      <w:pPr>
        <w:pStyle w:val="ListParagraph"/>
        <w:numPr>
          <w:ilvl w:val="0"/>
          <w:numId w:val="1"/>
        </w:numPr>
        <w:tabs>
          <w:tab w:val="left" w:pos="820"/>
          <w:tab w:val="left" w:pos="821"/>
        </w:tabs>
        <w:spacing w:before="3"/>
        <w:ind w:left="820"/>
      </w:pPr>
      <w:r w:rsidRPr="00DE1E8C">
        <w:t>Upon request by the “Part D eligible</w:t>
      </w:r>
      <w:r w:rsidRPr="00DE1E8C">
        <w:rPr>
          <w:spacing w:val="-36"/>
        </w:rPr>
        <w:t xml:space="preserve"> </w:t>
      </w:r>
      <w:r w:rsidRPr="00DE1E8C">
        <w:t>individual”</w:t>
      </w:r>
    </w:p>
    <w:p w14:paraId="2E37DD3D" w14:textId="77777777" w:rsidR="00C43450" w:rsidRPr="002D29A6" w:rsidRDefault="00C43450" w:rsidP="002D29A6">
      <w:pPr>
        <w:pStyle w:val="BodyText"/>
        <w:spacing w:line="242" w:lineRule="auto"/>
      </w:pPr>
    </w:p>
    <w:p w14:paraId="302F4AF9" w14:textId="77777777" w:rsidR="00C43450" w:rsidRPr="00DE1E8C" w:rsidRDefault="00F16B40" w:rsidP="00C54D9A">
      <w:pPr>
        <w:pStyle w:val="BodyText"/>
        <w:spacing w:after="120" w:line="242" w:lineRule="auto"/>
        <w:rPr>
          <w:sz w:val="22"/>
          <w:szCs w:val="22"/>
        </w:rPr>
      </w:pPr>
      <w:r w:rsidRPr="00C54D9A">
        <w:rPr>
          <w:b/>
          <w:color w:val="21578A"/>
          <w:sz w:val="22"/>
          <w:szCs w:val="22"/>
        </w:rPr>
        <w:t xml:space="preserve">Special Enrollment Period </w:t>
      </w:r>
      <w:r w:rsidR="00C54D9A">
        <w:rPr>
          <w:b/>
          <w:color w:val="21578A"/>
          <w:sz w:val="22"/>
          <w:szCs w:val="22"/>
        </w:rPr>
        <w:t xml:space="preserve">– </w:t>
      </w:r>
      <w:r w:rsidRPr="00DE1E8C">
        <w:rPr>
          <w:sz w:val="22"/>
          <w:szCs w:val="22"/>
        </w:rPr>
        <w:t>It is important that a Part D eligible individual be notified immediately when their prescription drug coverage changes from Creditable Coverage to Non-Creditable Coverage. If the Part D eligible individual loses Creditable prescription drug coverage through no fault of their own, they have only a two-month window to enroll in a Medicare drug plan without penalty.</w:t>
      </w:r>
    </w:p>
    <w:p w14:paraId="215BF5D2" w14:textId="77777777" w:rsidR="00C43450" w:rsidRPr="002D29A6" w:rsidRDefault="00C43450" w:rsidP="002D29A6">
      <w:pPr>
        <w:pStyle w:val="BodyText"/>
        <w:spacing w:line="242" w:lineRule="auto"/>
      </w:pPr>
    </w:p>
    <w:p w14:paraId="5FF23814" w14:textId="77777777" w:rsidR="00C43450" w:rsidRPr="00DE1E8C" w:rsidRDefault="00967E31" w:rsidP="00C54D9A">
      <w:pPr>
        <w:pStyle w:val="BodyText"/>
        <w:spacing w:after="120" w:line="242" w:lineRule="auto"/>
        <w:rPr>
          <w:sz w:val="22"/>
          <w:szCs w:val="22"/>
        </w:rPr>
      </w:pPr>
      <w:r>
        <w:rPr>
          <w:b/>
          <w:color w:val="21578A"/>
          <w:sz w:val="22"/>
          <w:szCs w:val="22"/>
        </w:rPr>
        <w:t>M</w:t>
      </w:r>
      <w:r w:rsidR="00F16B40" w:rsidRPr="00C54D9A">
        <w:rPr>
          <w:b/>
          <w:color w:val="21578A"/>
          <w:sz w:val="22"/>
          <w:szCs w:val="22"/>
        </w:rPr>
        <w:t xml:space="preserve">ethod for delivering the disclosure notice </w:t>
      </w:r>
      <w:r w:rsidR="00C54D9A">
        <w:rPr>
          <w:b/>
          <w:color w:val="21578A"/>
          <w:sz w:val="22"/>
          <w:szCs w:val="22"/>
        </w:rPr>
        <w:t xml:space="preserve">– </w:t>
      </w:r>
      <w:r w:rsidR="00F16B40" w:rsidRPr="00DE1E8C">
        <w:rPr>
          <w:sz w:val="22"/>
          <w:szCs w:val="22"/>
        </w:rPr>
        <w:t>The notice may be mailed separately or with other plan participant materials, and can be sent electronically. If the notice is provided with other plan</w:t>
      </w:r>
      <w:r w:rsidR="00DE1E8C" w:rsidRPr="00DE1E8C">
        <w:rPr>
          <w:sz w:val="22"/>
          <w:szCs w:val="22"/>
        </w:rPr>
        <w:t xml:space="preserve"> </w:t>
      </w:r>
      <w:r w:rsidR="00F16B40" w:rsidRPr="00DE1E8C">
        <w:rPr>
          <w:sz w:val="22"/>
          <w:szCs w:val="22"/>
        </w:rPr>
        <w:t>participant materials, it must meet the “prominent and conspicuous” requirement. CMS provides the following illustration (in bold-faced, 14-point type) that would be located on the first page of plan participant materials:</w:t>
      </w:r>
    </w:p>
    <w:p w14:paraId="6A5E3958" w14:textId="77777777" w:rsidR="00C43450" w:rsidRPr="002D29A6" w:rsidRDefault="00210B04" w:rsidP="002D29A6">
      <w:pPr>
        <w:pStyle w:val="BodyText"/>
        <w:spacing w:line="242" w:lineRule="auto"/>
      </w:pPr>
      <w:r>
        <w:rPr>
          <w:noProof/>
        </w:rPr>
        <mc:AlternateContent>
          <mc:Choice Requires="wps">
            <w:drawing>
              <wp:anchor distT="0" distB="0" distL="0" distR="0" simplePos="0" relativeHeight="1144" behindDoc="0" locked="0" layoutInCell="1" allowOverlap="1" wp14:anchorId="286CBF6F" wp14:editId="11A7A742">
                <wp:simplePos x="0" y="0"/>
                <wp:positionH relativeFrom="page">
                  <wp:posOffset>914400</wp:posOffset>
                </wp:positionH>
                <wp:positionV relativeFrom="paragraph">
                  <wp:posOffset>156210</wp:posOffset>
                </wp:positionV>
                <wp:extent cx="5829300" cy="736600"/>
                <wp:effectExtent l="0" t="0" r="19050"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3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2019" w14:textId="77777777" w:rsidR="00C43450" w:rsidRDefault="00F16B40">
                            <w:pPr>
                              <w:spacing w:before="69"/>
                              <w:ind w:left="144" w:right="138"/>
                              <w:jc w:val="both"/>
                              <w:rPr>
                                <w:b/>
                                <w:sz w:val="28"/>
                              </w:rPr>
                            </w:pPr>
                            <w:r>
                              <w:rPr>
                                <w:b/>
                                <w:sz w:val="28"/>
                              </w:rPr>
                              <w:t xml:space="preserve">If you have Medicare or will become eligible for Medicare in the next 12 months, a new Federal law gives you more choices about your prescription drug coverage. Please see page </w:t>
                            </w:r>
                            <w:r w:rsidRPr="007A3FCD">
                              <w:rPr>
                                <w:b/>
                                <w:sz w:val="28"/>
                              </w:rPr>
                              <w:t>XX</w:t>
                            </w:r>
                            <w:r>
                              <w:rPr>
                                <w:b/>
                                <w:sz w:val="28"/>
                              </w:rPr>
                              <w:t xml:space="preserve"> for more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CBF6F" id="_x0000_t202" coordsize="21600,21600" o:spt="202" path="m,l,21600r21600,l21600,xe">
                <v:stroke joinstyle="miter"/>
                <v:path gradientshapeok="t" o:connecttype="rect"/>
              </v:shapetype>
              <v:shape id="Text Box 2" o:spid="_x0000_s1026" type="#_x0000_t202" style="position:absolute;margin-left:1in;margin-top:12.3pt;width:459pt;height:58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8WdwIAAP8EAAAOAAAAZHJzL2Uyb0RvYy54bWysVG1v2yAQ/j5p/wHxPbWdJmlixam6OJkm&#10;dS9Sux9AAMdoGBiQ2N20/74Dx2m6fpmm+YN9huO5e+6eY3nbNRIduXVCqwJnVylGXFHNhNoX+Ovj&#10;djTHyHmiGJFa8QI/cYdvV2/fLFuT87GutWTcIgBRLm9NgWvvTZ4kjta8Ie5KG65gs9K2IR5+7T5h&#10;lrSA3shknKazpNWWGaspdw5Wy34TryJ+VXHqP1eV4x7JAkNuPr5tfO/CO1ktSb63xNSCntIg/5BF&#10;Q4SCoGeokniCDla8gmoEtdrpyl9R3SS6qgTlkQOwydI/2DzUxPDIBYrjzLlM7v/B0k/HLxYJBr3D&#10;SJEGWvTIO4/e6Q6NQ3Va43JwejDg5jtYDp6BqTP3mn5zSOl1TdSe31mr25oTBtll4WRycbTHcQFk&#10;137UDMKQg9cRqKtsEwChGAjQoUtP586EVCgsTufjxXUKWxT2bq5nM7BDCJIPp411/j3XDQpGgS10&#10;PqKT473zvevgEoIpvRVSwjrJpUJtgRfT8bTnpaVgYTOStPvdWlp0JEE/8TnFdZdujfCgYimaAs/P&#10;TiQP1dgoFqN4ImRvQ9JSBXAgB7mdrF4tPxfpYjPfzCejyXi2GU3SshzdbdeT0Wyb3UzL63K9LrNf&#10;Ic9skteCMa5CqoNys8nfKeM0Q73mztp9QcldMt/G5zXz5GUasSHAavhGdlEGofO9Bny366AgQRs7&#10;zZ5AEFb3Uwm3CBi1tj8wamEiC+y+H4jlGMkPCkQVxncw7GDsBoMoCkcL7DHqzbXvx/xgrNjXgNzL&#10;Vuk7EF4loiaeszjJFaYsJn+6EcIYX/5Hr+d7a/UbAAD//wMAUEsDBBQABgAIAAAAIQBrAnx83gAA&#10;AAsBAAAPAAAAZHJzL2Rvd25yZXYueG1sTI9BS8NAEIXvgv9hGcGL2F1DCCVmU6ToTcRWpR632TEJ&#10;yc6G7LZJ/72Tkx7fvMeb7xWb2fXijGNoPWl4WCkQSJW3LdUaPj9e7tcgQjRkTe8JNVwwwKa8vipM&#10;bv1EOzzvYy24hEJuNDQxDrmUoWrQmbDyAxJ7P350JrIca2lHM3G562WiVCadaYk/NGbAbYNVtz85&#10;Dd1b8747vG6/qzuJXT19qcP68qz17c389Agi4hz/wrDgMzqUzHT0J7JB9KzTlLdEDUmagVgCKkv4&#10;clwslYEsC/l/Q/kLAAD//wMAUEsBAi0AFAAGAAgAAAAhALaDOJL+AAAA4QEAABMAAAAAAAAAAAAA&#10;AAAAAAAAAFtDb250ZW50X1R5cGVzXS54bWxQSwECLQAUAAYACAAAACEAOP0h/9YAAACUAQAACwAA&#10;AAAAAAAAAAAAAAAvAQAAX3JlbHMvLnJlbHNQSwECLQAUAAYACAAAACEAB0tvFncCAAD/BAAADgAA&#10;AAAAAAAAAAAAAAAuAgAAZHJzL2Uyb0RvYy54bWxQSwECLQAUAAYACAAAACEAawJ8fN4AAAALAQAA&#10;DwAAAAAAAAAAAAAAAADRBAAAZHJzL2Rvd25yZXYueG1sUEsFBgAAAAAEAAQA8wAAANwFAAAAAA==&#10;" filled="f">
                <v:textbox inset="0,0,0,0">
                  <w:txbxContent>
                    <w:p w14:paraId="11C12019" w14:textId="77777777" w:rsidR="00C43450" w:rsidRDefault="00F16B40">
                      <w:pPr>
                        <w:spacing w:before="69"/>
                        <w:ind w:left="144" w:right="138"/>
                        <w:jc w:val="both"/>
                        <w:rPr>
                          <w:b/>
                          <w:sz w:val="28"/>
                        </w:rPr>
                      </w:pPr>
                      <w:r>
                        <w:rPr>
                          <w:b/>
                          <w:sz w:val="28"/>
                        </w:rPr>
                        <w:t xml:space="preserve">If you have Medicare or will become eligible for Medicare in the next 12 months, a new Federal law gives you more choices about your prescription drug coverage. Please see page </w:t>
                      </w:r>
                      <w:r w:rsidRPr="007A3FCD">
                        <w:rPr>
                          <w:b/>
                          <w:sz w:val="28"/>
                        </w:rPr>
                        <w:t>XX</w:t>
                      </w:r>
                      <w:r>
                        <w:rPr>
                          <w:b/>
                          <w:sz w:val="28"/>
                        </w:rPr>
                        <w:t xml:space="preserve"> for more details.</w:t>
                      </w:r>
                    </w:p>
                  </w:txbxContent>
                </v:textbox>
                <w10:wrap type="topAndBottom" anchorx="page"/>
              </v:shape>
            </w:pict>
          </mc:Fallback>
        </mc:AlternateContent>
      </w:r>
    </w:p>
    <w:p w14:paraId="3BCADC41" w14:textId="77777777" w:rsidR="00C43450" w:rsidRPr="002D29A6" w:rsidRDefault="00C43450" w:rsidP="002D29A6">
      <w:pPr>
        <w:pStyle w:val="BodyText"/>
        <w:spacing w:line="242" w:lineRule="auto"/>
      </w:pPr>
    </w:p>
    <w:p w14:paraId="70708A0B" w14:textId="78A945D9" w:rsidR="00C43450" w:rsidRPr="002D29A6" w:rsidRDefault="00F16B40" w:rsidP="002D29A6">
      <w:pPr>
        <w:pStyle w:val="BodyText"/>
        <w:spacing w:after="120" w:line="242" w:lineRule="auto"/>
        <w:rPr>
          <w:sz w:val="22"/>
          <w:szCs w:val="22"/>
        </w:rPr>
      </w:pPr>
      <w:r w:rsidRPr="00C54D9A">
        <w:rPr>
          <w:b/>
          <w:color w:val="21578A"/>
          <w:sz w:val="22"/>
          <w:szCs w:val="22"/>
        </w:rPr>
        <w:t>More informatio</w:t>
      </w:r>
      <w:r w:rsidR="00DE1E8C" w:rsidRPr="00C54D9A">
        <w:rPr>
          <w:b/>
          <w:color w:val="21578A"/>
          <w:sz w:val="22"/>
          <w:szCs w:val="22"/>
        </w:rPr>
        <w:t>n</w:t>
      </w:r>
      <w:r w:rsidRPr="00C54D9A">
        <w:rPr>
          <w:b/>
          <w:color w:val="21578A"/>
          <w:sz w:val="22"/>
          <w:szCs w:val="22"/>
        </w:rPr>
        <w:t xml:space="preserve"> </w:t>
      </w:r>
      <w:r w:rsidR="00C54D9A">
        <w:rPr>
          <w:b/>
          <w:color w:val="21578A"/>
          <w:sz w:val="22"/>
          <w:szCs w:val="22"/>
        </w:rPr>
        <w:t xml:space="preserve">– </w:t>
      </w:r>
      <w:r w:rsidRPr="00DE1E8C">
        <w:rPr>
          <w:sz w:val="22"/>
          <w:szCs w:val="22"/>
        </w:rPr>
        <w:t>Additional details regarding the notice requirements and creditable coverage for Medicare Part D are a</w:t>
      </w:r>
      <w:r w:rsidR="007A3FCD">
        <w:rPr>
          <w:sz w:val="22"/>
          <w:szCs w:val="22"/>
        </w:rPr>
        <w:t xml:space="preserve">vailable on the CMS Web site </w:t>
      </w:r>
      <w:r w:rsidR="007A3FCD" w:rsidRPr="007A3FCD">
        <w:rPr>
          <w:sz w:val="22"/>
          <w:szCs w:val="22"/>
        </w:rPr>
        <w:t xml:space="preserve">at </w:t>
      </w:r>
      <w:hyperlink r:id="rId11" w:history="1">
        <w:r w:rsidR="007A3FCD" w:rsidRPr="007A3FCD">
          <w:rPr>
            <w:rStyle w:val="Hyperlink"/>
            <w:sz w:val="22"/>
            <w:szCs w:val="22"/>
          </w:rPr>
          <w:t>www.cms.gov/Medicare/Prescription-Drug-Coverage/CreditableCoverage</w:t>
        </w:r>
      </w:hyperlink>
    </w:p>
    <w:sectPr w:rsidR="00C43450" w:rsidRPr="002D29A6" w:rsidSect="00C54D9A">
      <w:headerReference w:type="default" r:id="rId12"/>
      <w:footerReference w:type="default" r:id="rId13"/>
      <w:pgSz w:w="12240" w:h="15840"/>
      <w:pgMar w:top="1360" w:right="1340" w:bottom="280" w:left="1340" w:header="72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F6A36" w14:textId="77777777" w:rsidR="008178E1" w:rsidRDefault="008178E1" w:rsidP="00804458">
      <w:r>
        <w:separator/>
      </w:r>
    </w:p>
  </w:endnote>
  <w:endnote w:type="continuationSeparator" w:id="0">
    <w:p w14:paraId="653E638F" w14:textId="77777777" w:rsidR="008178E1" w:rsidRDefault="008178E1" w:rsidP="008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2678" w14:textId="2B8AD9F8" w:rsidR="00804458" w:rsidRDefault="00804458" w:rsidP="00804458">
    <w:pPr>
      <w:pStyle w:val="Footer"/>
      <w:tabs>
        <w:tab w:val="clear" w:pos="9360"/>
        <w:tab w:val="right" w:pos="9540"/>
      </w:tabs>
    </w:pPr>
    <w:r>
      <w:rPr>
        <w:sz w:val="16"/>
      </w:rPr>
      <w:t>Page 1</w:t>
    </w:r>
    <w:r>
      <w:rPr>
        <w:spacing w:val="-1"/>
        <w:sz w:val="16"/>
      </w:rPr>
      <w:t xml:space="preserve"> </w:t>
    </w:r>
    <w:r>
      <w:rPr>
        <w:sz w:val="16"/>
      </w:rPr>
      <w:t>of 2</w:t>
    </w:r>
    <w:r>
      <w:rPr>
        <w:sz w:val="16"/>
      </w:rPr>
      <w:tab/>
    </w:r>
    <w:r>
      <w:rPr>
        <w:sz w:val="16"/>
      </w:rPr>
      <w:tab/>
    </w:r>
    <w:r w:rsidR="00903AE0">
      <w:rPr>
        <w:sz w:val="16"/>
      </w:rPr>
      <w:t>CLB371_092117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A04E" w14:textId="6761BC8A" w:rsidR="00DC32D4" w:rsidRDefault="00DC32D4" w:rsidP="00804458">
    <w:pPr>
      <w:pStyle w:val="Footer"/>
      <w:tabs>
        <w:tab w:val="clear" w:pos="9360"/>
        <w:tab w:val="right" w:pos="9540"/>
      </w:tabs>
    </w:pPr>
    <w:r>
      <w:rPr>
        <w:sz w:val="16"/>
      </w:rPr>
      <w:t>Page 2</w:t>
    </w:r>
    <w:r>
      <w:rPr>
        <w:spacing w:val="-1"/>
        <w:sz w:val="16"/>
      </w:rPr>
      <w:t xml:space="preserve"> </w:t>
    </w:r>
    <w:r>
      <w:rPr>
        <w:sz w:val="16"/>
      </w:rPr>
      <w:t>of 2</w:t>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144D7" w14:textId="77777777" w:rsidR="008178E1" w:rsidRDefault="008178E1" w:rsidP="00804458">
      <w:r>
        <w:separator/>
      </w:r>
    </w:p>
  </w:footnote>
  <w:footnote w:type="continuationSeparator" w:id="0">
    <w:p w14:paraId="79942611" w14:textId="77777777" w:rsidR="008178E1" w:rsidRDefault="008178E1" w:rsidP="00804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7183" w14:textId="77777777" w:rsidR="00C54D9A" w:rsidRDefault="00C54D9A">
    <w:pPr>
      <w:pStyle w:val="Header"/>
    </w:pPr>
    <w:r>
      <w:rPr>
        <w:noProof/>
      </w:rPr>
      <w:drawing>
        <wp:anchor distT="0" distB="0" distL="114300" distR="114300" simplePos="0" relativeHeight="251658240" behindDoc="0" locked="0" layoutInCell="1" allowOverlap="1" wp14:anchorId="4AC64BE6" wp14:editId="345A92DE">
          <wp:simplePos x="0" y="0"/>
          <wp:positionH relativeFrom="column">
            <wp:posOffset>-365125</wp:posOffset>
          </wp:positionH>
          <wp:positionV relativeFrom="paragraph">
            <wp:posOffset>-190500</wp:posOffset>
          </wp:positionV>
          <wp:extent cx="1785835" cy="91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HP_BlueDescriptor_RGB_Croppe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835" cy="914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7F52" w14:textId="77777777" w:rsidR="00DC32D4" w:rsidRPr="00DC32D4" w:rsidRDefault="00DC32D4" w:rsidP="00DC3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D36"/>
    <w:multiLevelType w:val="hybridMultilevel"/>
    <w:tmpl w:val="CA46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5181A"/>
    <w:multiLevelType w:val="hybridMultilevel"/>
    <w:tmpl w:val="C62C242C"/>
    <w:lvl w:ilvl="0" w:tplc="0804ED2C">
      <w:numFmt w:val="bullet"/>
      <w:lvlText w:val=""/>
      <w:lvlJc w:val="left"/>
      <w:pPr>
        <w:ind w:left="860" w:hanging="360"/>
      </w:pPr>
      <w:rPr>
        <w:rFonts w:ascii="Symbol" w:eastAsia="Symbol" w:hAnsi="Symbol" w:cs="Symbol" w:hint="default"/>
        <w:w w:val="99"/>
        <w:sz w:val="20"/>
        <w:szCs w:val="20"/>
      </w:rPr>
    </w:lvl>
    <w:lvl w:ilvl="1" w:tplc="43187EFA">
      <w:numFmt w:val="bullet"/>
      <w:lvlText w:val="•"/>
      <w:lvlJc w:val="left"/>
      <w:pPr>
        <w:ind w:left="1738" w:hanging="360"/>
      </w:pPr>
      <w:rPr>
        <w:rFonts w:hint="default"/>
      </w:rPr>
    </w:lvl>
    <w:lvl w:ilvl="2" w:tplc="B11CFAB8">
      <w:numFmt w:val="bullet"/>
      <w:lvlText w:val="•"/>
      <w:lvlJc w:val="left"/>
      <w:pPr>
        <w:ind w:left="2616" w:hanging="360"/>
      </w:pPr>
      <w:rPr>
        <w:rFonts w:hint="default"/>
      </w:rPr>
    </w:lvl>
    <w:lvl w:ilvl="3" w:tplc="0E3EA1E2">
      <w:numFmt w:val="bullet"/>
      <w:lvlText w:val="•"/>
      <w:lvlJc w:val="left"/>
      <w:pPr>
        <w:ind w:left="3494" w:hanging="360"/>
      </w:pPr>
      <w:rPr>
        <w:rFonts w:hint="default"/>
      </w:rPr>
    </w:lvl>
    <w:lvl w:ilvl="4" w:tplc="F0CEA8E4">
      <w:numFmt w:val="bullet"/>
      <w:lvlText w:val="•"/>
      <w:lvlJc w:val="left"/>
      <w:pPr>
        <w:ind w:left="4372" w:hanging="360"/>
      </w:pPr>
      <w:rPr>
        <w:rFonts w:hint="default"/>
      </w:rPr>
    </w:lvl>
    <w:lvl w:ilvl="5" w:tplc="B476AB28">
      <w:numFmt w:val="bullet"/>
      <w:lvlText w:val="•"/>
      <w:lvlJc w:val="left"/>
      <w:pPr>
        <w:ind w:left="5250" w:hanging="360"/>
      </w:pPr>
      <w:rPr>
        <w:rFonts w:hint="default"/>
      </w:rPr>
    </w:lvl>
    <w:lvl w:ilvl="6" w:tplc="8BBC27B8">
      <w:numFmt w:val="bullet"/>
      <w:lvlText w:val="•"/>
      <w:lvlJc w:val="left"/>
      <w:pPr>
        <w:ind w:left="6128" w:hanging="360"/>
      </w:pPr>
      <w:rPr>
        <w:rFonts w:hint="default"/>
      </w:rPr>
    </w:lvl>
    <w:lvl w:ilvl="7" w:tplc="26781FB8">
      <w:numFmt w:val="bullet"/>
      <w:lvlText w:val="•"/>
      <w:lvlJc w:val="left"/>
      <w:pPr>
        <w:ind w:left="7006" w:hanging="360"/>
      </w:pPr>
      <w:rPr>
        <w:rFonts w:hint="default"/>
      </w:rPr>
    </w:lvl>
    <w:lvl w:ilvl="8" w:tplc="3C54E8C0">
      <w:numFmt w:val="bullet"/>
      <w:lvlText w:val="•"/>
      <w:lvlJc w:val="left"/>
      <w:pPr>
        <w:ind w:left="7884" w:hanging="360"/>
      </w:pPr>
      <w:rPr>
        <w:rFonts w:hint="default"/>
      </w:rPr>
    </w:lvl>
  </w:abstractNum>
  <w:abstractNum w:abstractNumId="2" w15:restartNumberingAfterBreak="0">
    <w:nsid w:val="55EB4F46"/>
    <w:multiLevelType w:val="hybridMultilevel"/>
    <w:tmpl w:val="DBCE2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530DF"/>
    <w:multiLevelType w:val="hybridMultilevel"/>
    <w:tmpl w:val="DBCE2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50"/>
    <w:rsid w:val="00080B1B"/>
    <w:rsid w:val="001F5702"/>
    <w:rsid w:val="00210B04"/>
    <w:rsid w:val="002D29A6"/>
    <w:rsid w:val="003E5DBC"/>
    <w:rsid w:val="006A5D4B"/>
    <w:rsid w:val="007065A0"/>
    <w:rsid w:val="0072790D"/>
    <w:rsid w:val="007A3FCD"/>
    <w:rsid w:val="0080301B"/>
    <w:rsid w:val="00804458"/>
    <w:rsid w:val="008178E1"/>
    <w:rsid w:val="00903AE0"/>
    <w:rsid w:val="0092041D"/>
    <w:rsid w:val="0094207A"/>
    <w:rsid w:val="00967E31"/>
    <w:rsid w:val="00A47635"/>
    <w:rsid w:val="00C43450"/>
    <w:rsid w:val="00C54D9A"/>
    <w:rsid w:val="00C73BC3"/>
    <w:rsid w:val="00D24796"/>
    <w:rsid w:val="00DC32D4"/>
    <w:rsid w:val="00DE1E8C"/>
    <w:rsid w:val="00E67229"/>
    <w:rsid w:val="00F16B40"/>
    <w:rsid w:val="00FE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26E6B"/>
  <w15:docId w15:val="{BAB43D3F-61A8-4F60-8C36-10114323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4458"/>
    <w:pPr>
      <w:tabs>
        <w:tab w:val="center" w:pos="4680"/>
        <w:tab w:val="right" w:pos="9360"/>
      </w:tabs>
    </w:pPr>
  </w:style>
  <w:style w:type="character" w:customStyle="1" w:styleId="HeaderChar">
    <w:name w:val="Header Char"/>
    <w:basedOn w:val="DefaultParagraphFont"/>
    <w:link w:val="Header"/>
    <w:uiPriority w:val="99"/>
    <w:rsid w:val="00804458"/>
    <w:rPr>
      <w:rFonts w:ascii="Arial" w:eastAsia="Arial" w:hAnsi="Arial" w:cs="Arial"/>
    </w:rPr>
  </w:style>
  <w:style w:type="paragraph" w:styleId="Footer">
    <w:name w:val="footer"/>
    <w:basedOn w:val="Normal"/>
    <w:link w:val="FooterChar"/>
    <w:uiPriority w:val="99"/>
    <w:unhideWhenUsed/>
    <w:rsid w:val="00804458"/>
    <w:pPr>
      <w:tabs>
        <w:tab w:val="center" w:pos="4680"/>
        <w:tab w:val="right" w:pos="9360"/>
      </w:tabs>
    </w:pPr>
  </w:style>
  <w:style w:type="character" w:customStyle="1" w:styleId="FooterChar">
    <w:name w:val="Footer Char"/>
    <w:basedOn w:val="DefaultParagraphFont"/>
    <w:link w:val="Footer"/>
    <w:uiPriority w:val="99"/>
    <w:rsid w:val="00804458"/>
    <w:rPr>
      <w:rFonts w:ascii="Arial" w:eastAsia="Arial" w:hAnsi="Arial" w:cs="Arial"/>
    </w:rPr>
  </w:style>
  <w:style w:type="character" w:styleId="Hyperlink">
    <w:name w:val="Hyperlink"/>
    <w:basedOn w:val="DefaultParagraphFont"/>
    <w:uiPriority w:val="99"/>
    <w:unhideWhenUsed/>
    <w:rsid w:val="00804458"/>
    <w:rPr>
      <w:color w:val="0000FF" w:themeColor="hyperlink"/>
      <w:u w:val="single"/>
    </w:rPr>
  </w:style>
  <w:style w:type="character" w:styleId="FollowedHyperlink">
    <w:name w:val="FollowedHyperlink"/>
    <w:basedOn w:val="DefaultParagraphFont"/>
    <w:uiPriority w:val="99"/>
    <w:semiHidden/>
    <w:unhideWhenUsed/>
    <w:rsid w:val="0080301B"/>
    <w:rPr>
      <w:color w:val="800080" w:themeColor="followedHyperlink"/>
      <w:u w:val="single"/>
    </w:rPr>
  </w:style>
  <w:style w:type="character" w:customStyle="1" w:styleId="BodyTextChar">
    <w:name w:val="Body Text Char"/>
    <w:basedOn w:val="DefaultParagraphFont"/>
    <w:link w:val="BodyText"/>
    <w:uiPriority w:val="1"/>
    <w:rsid w:val="002D29A6"/>
    <w:rPr>
      <w:rFonts w:ascii="Arial" w:eastAsia="Arial" w:hAnsi="Arial" w:cs="Arial"/>
      <w:sz w:val="20"/>
      <w:szCs w:val="20"/>
    </w:rPr>
  </w:style>
  <w:style w:type="character" w:styleId="CommentReference">
    <w:name w:val="annotation reference"/>
    <w:basedOn w:val="DefaultParagraphFont"/>
    <w:uiPriority w:val="99"/>
    <w:semiHidden/>
    <w:unhideWhenUsed/>
    <w:rsid w:val="00C73BC3"/>
    <w:rPr>
      <w:sz w:val="16"/>
      <w:szCs w:val="16"/>
    </w:rPr>
  </w:style>
  <w:style w:type="paragraph" w:styleId="CommentText">
    <w:name w:val="annotation text"/>
    <w:basedOn w:val="Normal"/>
    <w:link w:val="CommentTextChar"/>
    <w:uiPriority w:val="99"/>
    <w:semiHidden/>
    <w:unhideWhenUsed/>
    <w:rsid w:val="00C73BC3"/>
    <w:rPr>
      <w:sz w:val="20"/>
      <w:szCs w:val="20"/>
    </w:rPr>
  </w:style>
  <w:style w:type="character" w:customStyle="1" w:styleId="CommentTextChar">
    <w:name w:val="Comment Text Char"/>
    <w:basedOn w:val="DefaultParagraphFont"/>
    <w:link w:val="CommentText"/>
    <w:uiPriority w:val="99"/>
    <w:semiHidden/>
    <w:rsid w:val="00C73B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73BC3"/>
    <w:rPr>
      <w:b/>
      <w:bCs/>
    </w:rPr>
  </w:style>
  <w:style w:type="character" w:customStyle="1" w:styleId="CommentSubjectChar">
    <w:name w:val="Comment Subject Char"/>
    <w:basedOn w:val="CommentTextChar"/>
    <w:link w:val="CommentSubject"/>
    <w:uiPriority w:val="99"/>
    <w:semiHidden/>
    <w:rsid w:val="00C73BC3"/>
    <w:rPr>
      <w:rFonts w:ascii="Arial" w:eastAsia="Arial" w:hAnsi="Arial" w:cs="Arial"/>
      <w:b/>
      <w:bCs/>
      <w:sz w:val="20"/>
      <w:szCs w:val="20"/>
    </w:rPr>
  </w:style>
  <w:style w:type="paragraph" w:styleId="BalloonText">
    <w:name w:val="Balloon Text"/>
    <w:basedOn w:val="Normal"/>
    <w:link w:val="BalloonTextChar"/>
    <w:uiPriority w:val="99"/>
    <w:semiHidden/>
    <w:unhideWhenUsed/>
    <w:rsid w:val="00C73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BC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65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Medicare/Prescription-Drug-Coverage/CreditableCover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acificsource.com/admin/forms-and-materials.aspx" TargetMode="External"/><Relationship Id="rId4" Type="http://schemas.openxmlformats.org/officeDocument/2006/relationships/webSettings" Target="webSettings.xml"/><Relationship Id="rId9" Type="http://schemas.openxmlformats.org/officeDocument/2006/relationships/hyperlink" Target="https://www.pacificsource.com/admin/forms-and-material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EMPLOYEE BENEFITS ALERT</vt:lpstr>
    </vt:vector>
  </TitlesOfParts>
  <Company>PacificSource</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BENEFITS ALERT</dc:title>
  <dc:creator>Rhonda Giles</dc:creator>
  <cp:lastModifiedBy>Leslie Hough</cp:lastModifiedBy>
  <cp:revision>2</cp:revision>
  <dcterms:created xsi:type="dcterms:W3CDTF">2017-09-29T21:33:00Z</dcterms:created>
  <dcterms:modified xsi:type="dcterms:W3CDTF">2017-09-29T21:33:00Z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Microsoft® Word 2010</vt:lpwstr>
  </property>
  <property fmtid="{D5CDD505-2E9C-101B-9397-08002B2CF9AE}" pid="4" name="LastSaved">
    <vt:filetime>2017-08-15T00:00:00Z</vt:filetime>
  </property>
</Properties>
</file>